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059F" w14:textId="76C9EBB8" w:rsidR="00A57D59" w:rsidRDefault="00A57D59" w:rsidP="00A57D59">
      <w:pPr>
        <w:spacing w:after="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MD PSP (Pesticide Stewardship Partnership</w:t>
      </w:r>
      <w:r w:rsidR="00017764">
        <w:rPr>
          <w:rFonts w:cstheme="minorHAnsi"/>
          <w:b/>
          <w:bCs/>
          <w:u w:val="single"/>
        </w:rPr>
        <w:t xml:space="preserve">): Mtg </w:t>
      </w:r>
      <w:r w:rsidR="00D21208">
        <w:rPr>
          <w:rFonts w:cstheme="minorHAnsi"/>
          <w:b/>
          <w:bCs/>
          <w:u w:val="single"/>
        </w:rPr>
        <w:t>4</w:t>
      </w:r>
    </w:p>
    <w:p w14:paraId="17F159C6" w14:textId="7D7E5BD9" w:rsidR="00A57D59" w:rsidRDefault="00D21208" w:rsidP="00A57D59">
      <w:pPr>
        <w:spacing w:after="0"/>
        <w:jc w:val="center"/>
        <w:rPr>
          <w:rFonts w:cstheme="minorHAnsi"/>
          <w:color w:val="FF0000"/>
        </w:rPr>
      </w:pPr>
      <w:r w:rsidRPr="00D21208">
        <w:rPr>
          <w:rFonts w:cstheme="minorHAnsi"/>
          <w:color w:val="FF0000"/>
        </w:rPr>
        <w:t>February 19, 2025</w:t>
      </w:r>
      <w:r w:rsidR="00017764" w:rsidRPr="00D21208">
        <w:rPr>
          <w:rFonts w:cstheme="minorHAnsi"/>
          <w:color w:val="FF0000"/>
        </w:rPr>
        <w:t>;</w:t>
      </w:r>
      <w:r w:rsidR="00EA4D73" w:rsidRPr="00D21208">
        <w:rPr>
          <w:rFonts w:cstheme="minorHAnsi"/>
          <w:color w:val="FF0000"/>
        </w:rPr>
        <w:t xml:space="preserve"> </w:t>
      </w:r>
      <w:r w:rsidR="00017764" w:rsidRPr="00D21208">
        <w:rPr>
          <w:rFonts w:cstheme="minorHAnsi"/>
          <w:color w:val="FF0000"/>
        </w:rPr>
        <w:t>Wednesday</w:t>
      </w:r>
      <w:r w:rsidR="00EA4D73" w:rsidRPr="00D21208">
        <w:rPr>
          <w:rFonts w:cstheme="minorHAnsi"/>
          <w:color w:val="FF0000"/>
        </w:rPr>
        <w:t xml:space="preserve">, </w:t>
      </w:r>
      <w:r w:rsidRPr="00D21208">
        <w:rPr>
          <w:rFonts w:cstheme="minorHAnsi"/>
          <w:color w:val="FF0000"/>
        </w:rPr>
        <w:t>9-</w:t>
      </w:r>
      <w:proofErr w:type="spellStart"/>
      <w:r w:rsidRPr="00D21208">
        <w:rPr>
          <w:rFonts w:cstheme="minorHAnsi"/>
          <w:color w:val="FF0000"/>
        </w:rPr>
        <w:t>11am</w:t>
      </w:r>
      <w:proofErr w:type="spellEnd"/>
    </w:p>
    <w:p w14:paraId="60ED03E6" w14:textId="4C865BE3" w:rsidR="00EA4D73" w:rsidRPr="00EA4D73" w:rsidRDefault="00A57D59" w:rsidP="00EA4D73">
      <w:pPr>
        <w:spacing w:after="0"/>
        <w:jc w:val="center"/>
        <w:rPr>
          <w:rFonts w:cstheme="minorHAnsi"/>
          <w:color w:val="FF0000"/>
        </w:rPr>
      </w:pPr>
      <w:r w:rsidRPr="00C3793B">
        <w:rPr>
          <w:rFonts w:cstheme="minorHAnsi"/>
          <w:color w:val="FF0000"/>
        </w:rPr>
        <w:t xml:space="preserve">COAREC (“Experiment Station”): </w:t>
      </w:r>
      <w:r w:rsidRPr="00C3793B">
        <w:rPr>
          <w:rFonts w:cstheme="minorHAnsi"/>
          <w:color w:val="FF0000"/>
          <w:shd w:val="clear" w:color="auto" w:fill="FFFFFF"/>
        </w:rPr>
        <w:t>850 NW Dogwood Ln</w:t>
      </w:r>
      <w:r w:rsidRPr="00C3793B">
        <w:rPr>
          <w:rFonts w:cstheme="minorHAnsi"/>
          <w:color w:val="FF0000"/>
        </w:rPr>
        <w:t>, Madras</w:t>
      </w:r>
    </w:p>
    <w:p w14:paraId="30841E2B" w14:textId="77777777" w:rsidR="00017764" w:rsidRPr="00724F1F" w:rsidRDefault="00017764" w:rsidP="000177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F05E9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https://zoom.us/j/3103247170?pwd=bnpsVUFnbngwaThNaWEvYkdzQW1wUT09</w:t>
        </w:r>
      </w:hyperlink>
      <w:r w:rsidRPr="00724F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862612" w14:textId="77777777" w:rsidR="00017764" w:rsidRPr="00724F1F" w:rsidRDefault="00017764" w:rsidP="000177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724F1F">
        <w:rPr>
          <w:rStyle w:val="normaltextrun"/>
          <w:rFonts w:asciiTheme="minorHAnsi" w:hAnsiTheme="minorHAnsi" w:cstheme="minorHAnsi"/>
          <w:sz w:val="22"/>
          <w:szCs w:val="22"/>
        </w:rPr>
        <w:t>Meeting ID: 310 324 7170</w:t>
      </w:r>
      <w:r w:rsidRPr="00724F1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724F1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724F1F">
        <w:rPr>
          <w:rStyle w:val="normaltextrun"/>
          <w:rFonts w:asciiTheme="minorHAnsi" w:hAnsiTheme="minorHAnsi" w:cstheme="minorHAnsi"/>
          <w:sz w:val="22"/>
          <w:szCs w:val="22"/>
        </w:rPr>
        <w:t>Passcode: 952210</w:t>
      </w:r>
      <w:r w:rsidRPr="00724F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6F6132" w14:textId="77777777" w:rsidR="00017764" w:rsidRPr="00724F1F" w:rsidRDefault="00017764" w:rsidP="000177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724F1F">
        <w:rPr>
          <w:rStyle w:val="normaltextrun"/>
          <w:rFonts w:asciiTheme="minorHAnsi" w:hAnsiTheme="minorHAnsi" w:cstheme="minorHAnsi"/>
          <w:sz w:val="22"/>
          <w:szCs w:val="22"/>
        </w:rPr>
        <w:t xml:space="preserve">One tap mobile:  </w:t>
      </w:r>
      <w:hyperlink r:id="rId6" w:anchor=",,,,*952210" w:tgtFrame="_blank" w:history="1">
        <w:r w:rsidRPr="00724F1F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+13462487799,,3103247170#,,,,*952210#</w:t>
        </w:r>
      </w:hyperlink>
      <w:r w:rsidRPr="00724F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D513EE" w14:textId="77777777" w:rsidR="000F2E56" w:rsidRPr="00EA4D73" w:rsidRDefault="000F2E56" w:rsidP="00A57D59">
      <w:pPr>
        <w:spacing w:after="0"/>
        <w:rPr>
          <w:rFonts w:cstheme="minorHAnsi"/>
        </w:rPr>
      </w:pPr>
    </w:p>
    <w:bookmarkStart w:id="0" w:name="_Hlk137022237"/>
    <w:p w14:paraId="6F844364" w14:textId="321A5CDD" w:rsidR="00A57D59" w:rsidRPr="00400347" w:rsidRDefault="00F577E5" w:rsidP="00A57D59">
      <w:pPr>
        <w:spacing w:after="0"/>
        <w:rPr>
          <w:rFonts w:cstheme="minorHAnsi"/>
          <w:i/>
          <w:iCs/>
          <w:color w:val="000000" w:themeColor="text1"/>
        </w:rPr>
      </w:pPr>
      <w:r w:rsidRPr="00F577E5">
        <w:rPr>
          <w:rFonts w:cstheme="minorHAnsi"/>
          <w:i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0B5F7" wp14:editId="6C0FEF21">
                <wp:simplePos x="0" y="0"/>
                <wp:positionH relativeFrom="column">
                  <wp:posOffset>0</wp:posOffset>
                </wp:positionH>
                <wp:positionV relativeFrom="paragraph">
                  <wp:posOffset>627380</wp:posOffset>
                </wp:positionV>
                <wp:extent cx="5981700" cy="1971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17F5" w14:textId="0E0F747B" w:rsidR="00F577E5" w:rsidRPr="00F577E5" w:rsidRDefault="00F577E5" w:rsidP="00F577E5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577E5">
                              <w:rPr>
                                <w:b/>
                                <w:bCs/>
                                <w:u w:val="single"/>
                              </w:rPr>
                              <w:t>PSP Objectives</w:t>
                            </w:r>
                            <w:r w:rsidR="003553B6">
                              <w:rPr>
                                <w:b/>
                                <w:bCs/>
                                <w:u w:val="single"/>
                              </w:rPr>
                              <w:t>, set by the PSP in 2023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:  By December 2028,</w:t>
                            </w:r>
                          </w:p>
                          <w:p w14:paraId="5C28573D" w14:textId="6F7DDBEB" w:rsidR="00F577E5" w:rsidRPr="00F577E5" w:rsidRDefault="00F577E5" w:rsidP="00F57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F577E5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All 2024 Pesticides of Concern (POC) are below aquatic life benchmarks</w:t>
                            </w:r>
                          </w:p>
                          <w:p w14:paraId="12A7AE0F" w14:textId="77777777" w:rsidR="00F577E5" w:rsidRPr="00A164D1" w:rsidRDefault="00F577E5" w:rsidP="00F577E5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</w:pPr>
                            <w:r w:rsidRPr="00A164D1">
                              <w:t xml:space="preserve">Currently below: Dimethoate, </w:t>
                            </w:r>
                            <w:proofErr w:type="spellStart"/>
                            <w:r w:rsidRPr="00A164D1">
                              <w:t>Prometryn</w:t>
                            </w:r>
                            <w:proofErr w:type="spellEnd"/>
                            <w:r w:rsidRPr="00A164D1">
                              <w:t xml:space="preserve"> &amp; </w:t>
                            </w:r>
                            <w:proofErr w:type="spellStart"/>
                            <w:r w:rsidRPr="00A164D1">
                              <w:t>Sulfometur</w:t>
                            </w:r>
                            <w:r>
                              <w:t>o</w:t>
                            </w:r>
                            <w:r w:rsidRPr="00A164D1">
                              <w:t>n</w:t>
                            </w:r>
                            <w:proofErr w:type="spellEnd"/>
                            <w:r w:rsidRPr="00A164D1">
                              <w:t xml:space="preserve"> methyl</w:t>
                            </w:r>
                          </w:p>
                          <w:p w14:paraId="45CD2255" w14:textId="77777777" w:rsidR="00F577E5" w:rsidRDefault="00F577E5" w:rsidP="00F577E5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</w:pPr>
                            <w:r w:rsidRPr="00A164D1">
                              <w:t xml:space="preserve">Barely above: </w:t>
                            </w:r>
                            <w:r>
                              <w:t>Diuron &amp; Oxyfluorfen</w:t>
                            </w:r>
                          </w:p>
                          <w:p w14:paraId="69AAE926" w14:textId="77777777" w:rsidR="00F577E5" w:rsidRDefault="00F577E5" w:rsidP="00F577E5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Above:  Imidacloprid &amp; Linuron</w:t>
                            </w:r>
                          </w:p>
                          <w:p w14:paraId="5CBF4193" w14:textId="3A606BD6" w:rsidR="00F577E5" w:rsidRPr="00051572" w:rsidRDefault="00F577E5" w:rsidP="00F57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F577E5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Reduce detection frequency by 25% of the four highest detected pesticides</w:t>
                            </w:r>
                            <w:r w:rsidRPr="00A164D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of 2023</w:t>
                            </w:r>
                            <w:r w:rsidRPr="00051572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30439E63" w14:textId="77777777" w:rsidR="00F577E5" w:rsidRPr="00051572" w:rsidRDefault="00F577E5" w:rsidP="00F577E5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</w:pPr>
                            <w:r w:rsidRPr="00051572">
                              <w:t xml:space="preserve">AMPA and Glyphosate are the highest (73 and 58%, respectively).  However, they are not </w:t>
                            </w:r>
                            <w:r>
                              <w:t xml:space="preserve">High </w:t>
                            </w:r>
                            <w:r w:rsidRPr="00051572">
                              <w:t>POCs</w:t>
                            </w:r>
                            <w:r>
                              <w:t>, which is not what the PSP is focusing on</w:t>
                            </w:r>
                            <w:r w:rsidRPr="00051572">
                              <w:t>.</w:t>
                            </w:r>
                          </w:p>
                          <w:p w14:paraId="2D200AB7" w14:textId="77777777" w:rsidR="00F577E5" w:rsidRDefault="00F577E5" w:rsidP="00F577E5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</w:pPr>
                            <w:r w:rsidRPr="00051572">
                              <w:t>The MDPSP will focus on the High POCs  with the highest detection frequencies:   Diuron (55</w:t>
                            </w:r>
                            <w:r>
                              <w:t>%</w:t>
                            </w:r>
                            <w:r w:rsidRPr="00051572">
                              <w:sym w:font="Wingdings" w:char="F0E0"/>
                            </w:r>
                            <w:r w:rsidRPr="00051572">
                              <w:t>41</w:t>
                            </w:r>
                            <w:r>
                              <w:t>%</w:t>
                            </w:r>
                            <w:r w:rsidRPr="00051572">
                              <w:t>), Linuron (48</w:t>
                            </w:r>
                            <w:r>
                              <w:t>%</w:t>
                            </w:r>
                            <w:r w:rsidRPr="00051572">
                              <w:sym w:font="Wingdings" w:char="F0E0"/>
                            </w:r>
                            <w:r w:rsidRPr="00051572">
                              <w:t>36</w:t>
                            </w:r>
                            <w:r>
                              <w:t>%</w:t>
                            </w:r>
                            <w:r w:rsidRPr="00051572">
                              <w:t xml:space="preserve">), </w:t>
                            </w:r>
                            <w:proofErr w:type="spellStart"/>
                            <w:r w:rsidRPr="00051572">
                              <w:t>Prometryn</w:t>
                            </w:r>
                            <w:proofErr w:type="spellEnd"/>
                            <w:r w:rsidRPr="00051572">
                              <w:t xml:space="preserve"> (40</w:t>
                            </w:r>
                            <w:r>
                              <w:t>%</w:t>
                            </w:r>
                            <w:r w:rsidRPr="00051572">
                              <w:sym w:font="Wingdings" w:char="F0E0"/>
                            </w:r>
                            <w:r w:rsidRPr="00051572">
                              <w:t>30,</w:t>
                            </w:r>
                            <w:r>
                              <w:t>)</w:t>
                            </w:r>
                          </w:p>
                          <w:p w14:paraId="4147E4A6" w14:textId="480DF5D7" w:rsidR="00F577E5" w:rsidRDefault="00F577E5" w:rsidP="00F57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577E5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Reduce the # of High POCs to &lt;3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13D36B07" w14:textId="36F7CC6B" w:rsidR="00F577E5" w:rsidRPr="00F577E5" w:rsidRDefault="00F577E5" w:rsidP="00F577E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0B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.4pt;width:471pt;height:15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l5EAIAACAEAAAOAAAAZHJzL2Uyb0RvYy54bWysU9tu2zAMfR+wfxD0vtgOkiYx4hRdugwD&#10;ugvQ7QNkWbaFyaImKbGzrx8lu2l2exmmB4EUqUPykNzeDp0iJ2GdBF3QbJZSIjSHSuqmoF8+H16t&#10;KXGe6Yop0KKgZ+Ho7e7li21vcjGHFlQlLEEQ7fLeFLT13uRJ4ngrOuZmYIRGYw22Yx5V2ySVZT2i&#10;dyqZp+lN0oOtjAUunMPX+9FIdxG/rgX3H+vaCU9UQTE3H28b7zLcyW7L8sYy00o+pcH+IYuOSY1B&#10;L1D3zDNytPI3qE5yCw5qP+PQJVDXkotYA1aTpb9U89gyI2ItSI4zF5rc/4PlH06P5pMlfngNAzYw&#10;FuHMA/CvjmjYt0w34s5a6FvBKgycBcqS3rh8+hqodrkLIGX/HipsMjt6iEBDbbvACtZJEB0bcL6Q&#10;LgZPOD4uN+tslaKJoy3brLKb1TLGYPnTd2OdfyugI0EoqMWuRnh2enA+pMPyJ5cQzYGS1UEqFRXb&#10;lHtlyYnhBBzimdB/clOa9AXdLOfLkYG/QqTx/Amikx5HWcmuoOuLE8sDb290FQfNM6lGGVNWeiIy&#10;cDey6IdyQMdAaAnVGSm1MI4srhgKLdjvlPQ4rgV1347MCkrUO41t2WSLRZjvqCyWqzkq9tpSXluY&#10;5ghVUE/JKO593IlAmIY7bF8tI7HPmUy54hhGvqeVCXN+rUev58Xe/QAAAP//AwBQSwMEFAAGAAgA&#10;AAAhAItrMC7dAAAABwEAAA8AAABkcnMvZG93bnJldi54bWxMj8FOwzAQRO9I/IO1SFwQdWijkoQ4&#10;FUICwQ0Kgqsbb5MIex1sNw1/z3KC486MZt7Wm9lZMWGIgycFV4sMBFLrzUCdgrfX+8sCREyajLae&#10;UME3Rtg0pye1row/0gtO29QJLqFYaQV9SmMlZWx7dDou/IjE3t4HpxOfoZMm6COXOyuXWbaWTg/E&#10;C70e8a7H9nN7cAqK/HH6iE+r5/d2vbdlurieHr6CUudn8+0NiIRz+gvDLz6jQ8NMO38gE4VVwI8k&#10;BWXB/OyW+ZKFnYI8K1cgm1r+529+AAAA//8DAFBLAQItABQABgAIAAAAIQC2gziS/gAAAOEBAAAT&#10;AAAAAAAAAAAAAAAAAAAAAABbQ29udGVudF9UeXBlc10ueG1sUEsBAi0AFAAGAAgAAAAhADj9If/W&#10;AAAAlAEAAAsAAAAAAAAAAAAAAAAALwEAAF9yZWxzLy5yZWxzUEsBAi0AFAAGAAgAAAAhAFnqWXkQ&#10;AgAAIAQAAA4AAAAAAAAAAAAAAAAALgIAAGRycy9lMm9Eb2MueG1sUEsBAi0AFAAGAAgAAAAhAItr&#10;MC7dAAAABwEAAA8AAAAAAAAAAAAAAAAAagQAAGRycy9kb3ducmV2LnhtbFBLBQYAAAAABAAEAPMA&#10;AAB0BQAAAAA=&#10;">
                <v:textbox>
                  <w:txbxContent>
                    <w:p w14:paraId="56B417F5" w14:textId="0E0F747B" w:rsidR="00F577E5" w:rsidRPr="00F577E5" w:rsidRDefault="00F577E5" w:rsidP="00F577E5">
                      <w:pPr>
                        <w:spacing w:after="0" w:line="240" w:lineRule="auto"/>
                        <w:ind w:left="360" w:hanging="360"/>
                        <w:rPr>
                          <w:b/>
                          <w:bCs/>
                          <w:u w:val="single"/>
                        </w:rPr>
                      </w:pPr>
                      <w:r w:rsidRPr="00F577E5">
                        <w:rPr>
                          <w:b/>
                          <w:bCs/>
                          <w:u w:val="single"/>
                        </w:rPr>
                        <w:t>PSP Objectives</w:t>
                      </w:r>
                      <w:r w:rsidR="003553B6">
                        <w:rPr>
                          <w:b/>
                          <w:bCs/>
                          <w:u w:val="single"/>
                        </w:rPr>
                        <w:t>, set by the PSP in 2023</w:t>
                      </w:r>
                      <w:r>
                        <w:rPr>
                          <w:b/>
                          <w:bCs/>
                          <w:u w:val="single"/>
                        </w:rPr>
                        <w:t>:  By December 2028,</w:t>
                      </w:r>
                    </w:p>
                    <w:p w14:paraId="5C28573D" w14:textId="6F7DDBEB" w:rsidR="00F577E5" w:rsidRPr="00F577E5" w:rsidRDefault="00F577E5" w:rsidP="00F57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F577E5">
                        <w:rPr>
                          <w:rFonts w:cstheme="minorHAnsi"/>
                          <w:color w:val="000000" w:themeColor="text1"/>
                          <w:u w:val="single"/>
                        </w:rPr>
                        <w:t>All 2024 Pesticides of Concern (POC) are below aquatic life benchmarks</w:t>
                      </w:r>
                    </w:p>
                    <w:p w14:paraId="12A7AE0F" w14:textId="77777777" w:rsidR="00F577E5" w:rsidRPr="00A164D1" w:rsidRDefault="00F577E5" w:rsidP="00F577E5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</w:pPr>
                      <w:r w:rsidRPr="00A164D1">
                        <w:t>Currently below: Dimethoate, Prometryn &amp; Sulfometur</w:t>
                      </w:r>
                      <w:r>
                        <w:t>o</w:t>
                      </w:r>
                      <w:r w:rsidRPr="00A164D1">
                        <w:t>n methyl</w:t>
                      </w:r>
                    </w:p>
                    <w:p w14:paraId="45CD2255" w14:textId="77777777" w:rsidR="00F577E5" w:rsidRDefault="00F577E5" w:rsidP="00F577E5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</w:pPr>
                      <w:r w:rsidRPr="00A164D1">
                        <w:t xml:space="preserve">Barely above: </w:t>
                      </w:r>
                      <w:r>
                        <w:t>Diuron &amp; Oxyfluorfen</w:t>
                      </w:r>
                    </w:p>
                    <w:p w14:paraId="69AAE926" w14:textId="77777777" w:rsidR="00F577E5" w:rsidRDefault="00F577E5" w:rsidP="00F577E5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</w:pPr>
                      <w:r>
                        <w:t>Above:  Imidacloprid &amp; Linuron</w:t>
                      </w:r>
                    </w:p>
                    <w:p w14:paraId="5CBF4193" w14:textId="3A606BD6" w:rsidR="00F577E5" w:rsidRPr="00051572" w:rsidRDefault="00F577E5" w:rsidP="00F57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F577E5">
                        <w:rPr>
                          <w:rFonts w:cstheme="minorHAnsi"/>
                          <w:color w:val="000000" w:themeColor="text1"/>
                          <w:u w:val="single"/>
                        </w:rPr>
                        <w:t>Reduce detection frequency by 25% of the four highest detected pesticides</w:t>
                      </w:r>
                      <w:r w:rsidRPr="00A164D1">
                        <w:rPr>
                          <w:rFonts w:cstheme="minorHAnsi"/>
                          <w:color w:val="000000" w:themeColor="text1"/>
                        </w:rPr>
                        <w:t xml:space="preserve"> of 2023</w:t>
                      </w:r>
                      <w:r w:rsidRPr="00051572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30439E63" w14:textId="77777777" w:rsidR="00F577E5" w:rsidRPr="00051572" w:rsidRDefault="00F577E5" w:rsidP="00F577E5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</w:pPr>
                      <w:r w:rsidRPr="00051572">
                        <w:t xml:space="preserve">AMPA and Glyphosate are the highest (73 and 58%, respectively).  However, they are not </w:t>
                      </w:r>
                      <w:r>
                        <w:t xml:space="preserve">High </w:t>
                      </w:r>
                      <w:r w:rsidRPr="00051572">
                        <w:t>POCs</w:t>
                      </w:r>
                      <w:r>
                        <w:t>, which is not what the PSP is focusing on</w:t>
                      </w:r>
                      <w:r w:rsidRPr="00051572">
                        <w:t>.</w:t>
                      </w:r>
                    </w:p>
                    <w:p w14:paraId="2D200AB7" w14:textId="77777777" w:rsidR="00F577E5" w:rsidRDefault="00F577E5" w:rsidP="00F577E5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</w:pPr>
                      <w:r w:rsidRPr="00051572">
                        <w:t>The MDPSP will focus on the High POCs  with the highest detection frequencies:   Diuron (55</w:t>
                      </w:r>
                      <w:r>
                        <w:t>%</w:t>
                      </w:r>
                      <w:r w:rsidRPr="00051572">
                        <w:sym w:font="Wingdings" w:char="F0E0"/>
                      </w:r>
                      <w:r w:rsidRPr="00051572">
                        <w:t>41</w:t>
                      </w:r>
                      <w:r>
                        <w:t>%</w:t>
                      </w:r>
                      <w:r w:rsidRPr="00051572">
                        <w:t>), Linuron (48</w:t>
                      </w:r>
                      <w:r>
                        <w:t>%</w:t>
                      </w:r>
                      <w:r w:rsidRPr="00051572">
                        <w:sym w:font="Wingdings" w:char="F0E0"/>
                      </w:r>
                      <w:r w:rsidRPr="00051572">
                        <w:t>36</w:t>
                      </w:r>
                      <w:r>
                        <w:t>%</w:t>
                      </w:r>
                      <w:r w:rsidRPr="00051572">
                        <w:t>), Prometryn (40</w:t>
                      </w:r>
                      <w:r>
                        <w:t>%</w:t>
                      </w:r>
                      <w:r w:rsidRPr="00051572">
                        <w:sym w:font="Wingdings" w:char="F0E0"/>
                      </w:r>
                      <w:r w:rsidRPr="00051572">
                        <w:t>30,</w:t>
                      </w:r>
                      <w:r>
                        <w:t>)</w:t>
                      </w:r>
                    </w:p>
                    <w:p w14:paraId="4147E4A6" w14:textId="480DF5D7" w:rsidR="00F577E5" w:rsidRDefault="00F577E5" w:rsidP="00F57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F577E5">
                        <w:rPr>
                          <w:rFonts w:cstheme="minorHAnsi"/>
                          <w:color w:val="000000" w:themeColor="text1"/>
                          <w:u w:val="single"/>
                        </w:rPr>
                        <w:t>Reduce the # of High POCs to &lt;3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13D36B07" w14:textId="36F7CC6B" w:rsidR="00F577E5" w:rsidRPr="00F577E5" w:rsidRDefault="00F577E5" w:rsidP="00F577E5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7D59" w:rsidRPr="00400347">
        <w:rPr>
          <w:rFonts w:cstheme="minorHAnsi"/>
          <w:b/>
          <w:bCs/>
          <w:i/>
          <w:iCs/>
          <w:color w:val="000000" w:themeColor="text1"/>
        </w:rPr>
        <w:t>Group Mission</w:t>
      </w:r>
      <w:r w:rsidR="00A57D59" w:rsidRPr="00400347">
        <w:rPr>
          <w:rFonts w:cstheme="minorHAnsi"/>
          <w:i/>
          <w:iCs/>
          <w:color w:val="000000" w:themeColor="text1"/>
        </w:rPr>
        <w:t>: 1) Increase knowledge of barriers to implementing BMPs, 2) develop communication material to increase understanding of MD PSP goal objectives and IPM, 3) develop a unifying campaign to reduce pesticides in MD waterways.</w:t>
      </w:r>
    </w:p>
    <w:p w14:paraId="401A3602" w14:textId="068E8BEE" w:rsidR="00A57D59" w:rsidRDefault="00A57D59" w:rsidP="00A57D59">
      <w:pPr>
        <w:spacing w:after="0"/>
        <w:rPr>
          <w:rFonts w:cstheme="minorHAnsi"/>
          <w:i/>
          <w:iCs/>
          <w:color w:val="000000" w:themeColor="text1"/>
        </w:rPr>
      </w:pPr>
      <w:r w:rsidRPr="00400347">
        <w:rPr>
          <w:rFonts w:cstheme="minorHAnsi"/>
          <w:b/>
          <w:bCs/>
          <w:i/>
          <w:iCs/>
          <w:color w:val="000000" w:themeColor="text1"/>
        </w:rPr>
        <w:t>Role of Group</w:t>
      </w:r>
      <w:r w:rsidRPr="00400347">
        <w:rPr>
          <w:rFonts w:cstheme="minorHAnsi"/>
          <w:i/>
          <w:iCs/>
          <w:color w:val="000000" w:themeColor="text1"/>
        </w:rPr>
        <w:t xml:space="preserve">: develop and implement an outreach plan to meet </w:t>
      </w:r>
      <w:r w:rsidR="00C8745A" w:rsidRPr="00400347">
        <w:rPr>
          <w:rFonts w:cstheme="minorHAnsi"/>
          <w:i/>
          <w:iCs/>
          <w:color w:val="000000" w:themeColor="text1"/>
        </w:rPr>
        <w:t>PSP objectives</w:t>
      </w:r>
    </w:p>
    <w:bookmarkEnd w:id="0"/>
    <w:p w14:paraId="4896CD1B" w14:textId="77777777" w:rsidR="00A57D59" w:rsidRDefault="00A57D59" w:rsidP="00A57D59">
      <w:pPr>
        <w:spacing w:after="0"/>
        <w:rPr>
          <w:rFonts w:cstheme="minorHAnsi"/>
          <w:color w:val="000000" w:themeColor="text1"/>
        </w:rPr>
      </w:pPr>
    </w:p>
    <w:p w14:paraId="573C57A2" w14:textId="3DC66087" w:rsidR="00400347" w:rsidRPr="00051572" w:rsidRDefault="00231B99" w:rsidP="00965148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Members</w:t>
      </w:r>
      <w:r w:rsidR="00965148" w:rsidRPr="00017764">
        <w:rPr>
          <w:rFonts w:cstheme="minorHAnsi"/>
        </w:rPr>
        <w:t>:</w:t>
      </w:r>
      <w:r w:rsidR="00A57D59" w:rsidRPr="00017764">
        <w:rPr>
          <w:rFonts w:cstheme="minorHAnsi"/>
        </w:rPr>
        <w:t xml:space="preserve">  </w:t>
      </w:r>
      <w:r w:rsidR="00017764" w:rsidRPr="00051572">
        <w:rPr>
          <w:rFonts w:cstheme="minorHAnsi"/>
        </w:rPr>
        <w:t>Albert Sikkens (</w:t>
      </w:r>
      <w:proofErr w:type="spellStart"/>
      <w:r w:rsidR="00017764" w:rsidRPr="00051572">
        <w:rPr>
          <w:rFonts w:cstheme="minorHAnsi"/>
        </w:rPr>
        <w:t>Pratum</w:t>
      </w:r>
      <w:proofErr w:type="spellEnd"/>
      <w:r w:rsidR="00017764" w:rsidRPr="00051572">
        <w:rPr>
          <w:rFonts w:cstheme="minorHAnsi"/>
        </w:rPr>
        <w:t xml:space="preserve">), </w:t>
      </w:r>
      <w:r w:rsidR="006B3815" w:rsidRPr="00051572">
        <w:rPr>
          <w:rFonts w:cstheme="minorHAnsi"/>
        </w:rPr>
        <w:t>Brad Klann</w:t>
      </w:r>
      <w:r w:rsidR="00017764" w:rsidRPr="00051572">
        <w:rPr>
          <w:rFonts w:cstheme="minorHAnsi"/>
        </w:rPr>
        <w:t xml:space="preserve"> (producer)</w:t>
      </w:r>
      <w:r w:rsidR="006B3815" w:rsidRPr="00051572">
        <w:rPr>
          <w:rFonts w:cstheme="minorHAnsi"/>
        </w:rPr>
        <w:t xml:space="preserve">, </w:t>
      </w:r>
      <w:r w:rsidR="00017764" w:rsidRPr="00051572">
        <w:rPr>
          <w:rFonts w:cstheme="minorHAnsi"/>
        </w:rPr>
        <w:t>David Gruen (DEQ), Drake Gilbert/Shilah Olson (Wasco SWCD), Jay McCabe (Wilbur-Ellis),</w:t>
      </w:r>
      <w:r w:rsidR="008235F0">
        <w:rPr>
          <w:rFonts w:cstheme="minorHAnsi"/>
        </w:rPr>
        <w:t xml:space="preserve"> </w:t>
      </w:r>
      <w:proofErr w:type="spellStart"/>
      <w:r w:rsidR="008235F0">
        <w:rPr>
          <w:rFonts w:cstheme="minorHAnsi"/>
        </w:rPr>
        <w:t>Floyid</w:t>
      </w:r>
      <w:proofErr w:type="spellEnd"/>
      <w:r w:rsidR="008235F0">
        <w:rPr>
          <w:rFonts w:cstheme="minorHAnsi"/>
        </w:rPr>
        <w:t xml:space="preserve"> Nelson/</w:t>
      </w:r>
      <w:r w:rsidR="00017764" w:rsidRPr="00051572">
        <w:rPr>
          <w:rFonts w:cstheme="minorHAnsi"/>
        </w:rPr>
        <w:t>Jeremiah Dung</w:t>
      </w:r>
      <w:r w:rsidR="008235F0">
        <w:rPr>
          <w:rFonts w:cstheme="minorHAnsi"/>
        </w:rPr>
        <w:t>/Steve Colman</w:t>
      </w:r>
      <w:r w:rsidR="00017764" w:rsidRPr="00051572">
        <w:rPr>
          <w:rFonts w:cstheme="minorHAnsi"/>
        </w:rPr>
        <w:t xml:space="preserve"> (COAREC), John Spring (COSI), Kathryn Rifenburg (ODA), </w:t>
      </w:r>
      <w:r w:rsidR="006B3815" w:rsidRPr="00051572">
        <w:rPr>
          <w:rFonts w:cstheme="minorHAnsi"/>
        </w:rPr>
        <w:t>Lane Springer</w:t>
      </w:r>
      <w:r w:rsidR="00017764" w:rsidRPr="00051572">
        <w:rPr>
          <w:rFonts w:cstheme="minorHAnsi"/>
        </w:rPr>
        <w:t xml:space="preserve"> (NUID)</w:t>
      </w:r>
      <w:r w:rsidR="006B3815" w:rsidRPr="00051572">
        <w:rPr>
          <w:rFonts w:cstheme="minorHAnsi"/>
        </w:rPr>
        <w:t xml:space="preserve">, </w:t>
      </w:r>
      <w:r w:rsidR="003F05E9" w:rsidRPr="00051572">
        <w:rPr>
          <w:rFonts w:cstheme="minorHAnsi"/>
        </w:rPr>
        <w:t xml:space="preserve">Lloyd Forman (producer), </w:t>
      </w:r>
      <w:r w:rsidR="00017764" w:rsidRPr="00051572">
        <w:rPr>
          <w:rFonts w:cstheme="minorHAnsi"/>
        </w:rPr>
        <w:t xml:space="preserve">Mandy Ondrick (DEQ), Mark Wunsch (producer/County Commission), </w:t>
      </w:r>
      <w:r w:rsidR="006B3815" w:rsidRPr="00051572">
        <w:rPr>
          <w:rFonts w:cstheme="minorHAnsi"/>
        </w:rPr>
        <w:t>Rob Galyen</w:t>
      </w:r>
      <w:r w:rsidR="00017764" w:rsidRPr="00051572">
        <w:rPr>
          <w:rFonts w:cstheme="minorHAnsi"/>
        </w:rPr>
        <w:t xml:space="preserve"> (producer), Scott Simmons (Helena), Scotty Samsel (producer)</w:t>
      </w:r>
      <w:r w:rsidR="00EB114C">
        <w:rPr>
          <w:rFonts w:cstheme="minorHAnsi"/>
        </w:rPr>
        <w:t>, Ellen Hammond/Ryan Brunner (SWCD)</w:t>
      </w:r>
    </w:p>
    <w:p w14:paraId="4D75E47D" w14:textId="77777777" w:rsidR="00400347" w:rsidRPr="00017764" w:rsidRDefault="00400347" w:rsidP="00017764">
      <w:pPr>
        <w:spacing w:after="0" w:line="240" w:lineRule="auto"/>
        <w:rPr>
          <w:rFonts w:cstheme="minorHAnsi"/>
          <w:b/>
          <w:bCs/>
          <w:u w:val="single"/>
        </w:rPr>
      </w:pPr>
    </w:p>
    <w:p w14:paraId="57763E72" w14:textId="23B3CC02" w:rsidR="00017764" w:rsidRPr="008235F0" w:rsidRDefault="00D21208" w:rsidP="008235F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9:00 </w:t>
      </w:r>
      <w:r>
        <w:rPr>
          <w:b/>
          <w:bCs/>
          <w:u w:val="single"/>
        </w:rPr>
        <w:tab/>
        <w:t xml:space="preserve"> </w:t>
      </w:r>
      <w:r w:rsidR="008235F0" w:rsidRPr="008235F0">
        <w:rPr>
          <w:b/>
          <w:bCs/>
          <w:u w:val="single"/>
        </w:rPr>
        <w:t>Introductions</w:t>
      </w:r>
      <w:r w:rsidR="00511762" w:rsidRPr="00051572">
        <w:t>:</w:t>
      </w:r>
    </w:p>
    <w:p w14:paraId="0B15D99B" w14:textId="77777777" w:rsidR="008235F0" w:rsidRPr="008235F0" w:rsidRDefault="008235F0" w:rsidP="008235F0">
      <w:pPr>
        <w:pStyle w:val="ListParagraph"/>
        <w:spacing w:after="0" w:line="240" w:lineRule="auto"/>
        <w:ind w:left="360"/>
        <w:rPr>
          <w:b/>
          <w:bCs/>
          <w:u w:val="single"/>
        </w:rPr>
      </w:pPr>
    </w:p>
    <w:p w14:paraId="52A16D8D" w14:textId="7147DBFE" w:rsidR="00017764" w:rsidRDefault="00D21208" w:rsidP="008235F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9:10</w:t>
      </w:r>
      <w:r>
        <w:rPr>
          <w:b/>
          <w:bCs/>
          <w:u w:val="single"/>
        </w:rPr>
        <w:tab/>
      </w:r>
      <w:r w:rsidR="008235F0" w:rsidRPr="008235F0">
        <w:rPr>
          <w:b/>
          <w:bCs/>
          <w:u w:val="single"/>
        </w:rPr>
        <w:t>2024 Data</w:t>
      </w:r>
      <w:r w:rsidR="008235F0">
        <w:rPr>
          <w:b/>
          <w:bCs/>
          <w:u w:val="single"/>
        </w:rPr>
        <w:t xml:space="preserve"> and discussion</w:t>
      </w:r>
      <w:r>
        <w:rPr>
          <w:b/>
          <w:bCs/>
          <w:u w:val="single"/>
        </w:rPr>
        <w:t xml:space="preserve"> (David Gruen)</w:t>
      </w:r>
    </w:p>
    <w:p w14:paraId="0F75F8C9" w14:textId="77777777" w:rsidR="008235F0" w:rsidRDefault="008235F0" w:rsidP="008235F0">
      <w:pPr>
        <w:spacing w:after="0" w:line="240" w:lineRule="auto"/>
        <w:rPr>
          <w:b/>
          <w:bCs/>
          <w:u w:val="single"/>
        </w:rPr>
      </w:pPr>
    </w:p>
    <w:p w14:paraId="1863DDE1" w14:textId="08011E5F" w:rsidR="008235F0" w:rsidRPr="008235F0" w:rsidRDefault="00D21208" w:rsidP="008235F0">
      <w:pPr>
        <w:spacing w:after="0" w:line="240" w:lineRule="auto"/>
        <w:rPr>
          <w:b/>
          <w:bCs/>
          <w:highlight w:val="yellow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7C35EEB7" wp14:editId="4254A6C3">
            <wp:simplePos x="0" y="0"/>
            <wp:positionH relativeFrom="margin">
              <wp:posOffset>3257550</wp:posOffset>
            </wp:positionH>
            <wp:positionV relativeFrom="paragraph">
              <wp:posOffset>44450</wp:posOffset>
            </wp:positionV>
            <wp:extent cx="2867025" cy="1930400"/>
            <wp:effectExtent l="19050" t="19050" r="28575" b="12700"/>
            <wp:wrapTight wrapText="bothSides">
              <wp:wrapPolygon edited="0">
                <wp:start x="-144" y="-213"/>
                <wp:lineTo x="-144" y="21529"/>
                <wp:lineTo x="21672" y="21529"/>
                <wp:lineTo x="21672" y="-213"/>
                <wp:lineTo x="-144" y="-213"/>
              </wp:wrapPolygon>
            </wp:wrapTight>
            <wp:docPr id="1882600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10"/>
                    <a:stretch/>
                  </pic:blipFill>
                  <pic:spPr bwMode="auto">
                    <a:xfrm>
                      <a:off x="0" y="0"/>
                      <a:ext cx="2867025" cy="19304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highlight w:val="yellow"/>
          <w:u w:val="single"/>
        </w:rPr>
        <w:t>9:50</w:t>
      </w:r>
      <w:r>
        <w:rPr>
          <w:b/>
          <w:bCs/>
          <w:highlight w:val="yellow"/>
          <w:u w:val="single"/>
        </w:rPr>
        <w:tab/>
      </w:r>
      <w:r w:rsidR="008235F0" w:rsidRPr="008235F0">
        <w:rPr>
          <w:b/>
          <w:bCs/>
          <w:highlight w:val="yellow"/>
          <w:u w:val="single"/>
        </w:rPr>
        <w:t>Required by PSP Grant</w:t>
      </w:r>
      <w:r w:rsidR="00EB114C">
        <w:rPr>
          <w:b/>
          <w:bCs/>
          <w:highlight w:val="yellow"/>
          <w:u w:val="single"/>
        </w:rPr>
        <w:t xml:space="preserve"> and Strategic Plan</w:t>
      </w:r>
    </w:p>
    <w:p w14:paraId="26709D67" w14:textId="4E822621" w:rsidR="008235F0" w:rsidRPr="00EB114C" w:rsidRDefault="008235F0" w:rsidP="008235F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highlight w:val="yellow"/>
        </w:rPr>
      </w:pP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 xml:space="preserve">Strategy 1: </w:t>
      </w:r>
      <w:r w:rsidRPr="00EB114C">
        <w:rPr>
          <w:rFonts w:ascii="Calibri" w:eastAsia="Times New Roman" w:hAnsi="Calibri" w:cs="Calibri"/>
          <w:i/>
          <w:iCs/>
          <w:color w:val="FF0000"/>
          <w:highlight w:val="yellow"/>
        </w:rPr>
        <w:t xml:space="preserve">Establish formalized partnership initiative </w:t>
      </w: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 xml:space="preserve">(a shared vision) onto which partners can sign (non-profits, businesses, municipalities, private landowners, </w:t>
      </w:r>
      <w:proofErr w:type="spellStart"/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>etc</w:t>
      </w:r>
      <w:proofErr w:type="spellEnd"/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>)</w:t>
      </w:r>
    </w:p>
    <w:p w14:paraId="20924BBC" w14:textId="5EF65BBF" w:rsidR="008235F0" w:rsidRPr="00EB114C" w:rsidRDefault="008235F0" w:rsidP="008235F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highlight w:val="yellow"/>
        </w:rPr>
      </w:pP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 xml:space="preserve">Metric 1: </w:t>
      </w:r>
      <w:r w:rsidRPr="00EB114C">
        <w:rPr>
          <w:rFonts w:ascii="Calibri" w:eastAsia="Times New Roman" w:hAnsi="Calibri" w:cs="Calibri"/>
          <w:i/>
          <w:iCs/>
          <w:color w:val="FF0000"/>
          <w:highlight w:val="yellow"/>
        </w:rPr>
        <w:t>Sign 10 entities onto the formalized partnership initiative (a shared vision)</w:t>
      </w: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>.  Provide annual updates to formal partners through an annual meeting.</w:t>
      </w:r>
    </w:p>
    <w:p w14:paraId="45084F6B" w14:textId="23784164" w:rsidR="008235F0" w:rsidRDefault="008235F0" w:rsidP="008235F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B0F0"/>
          <w:highlight w:val="yellow"/>
        </w:rPr>
      </w:pPr>
      <w:r w:rsidRPr="00EB114C">
        <w:rPr>
          <w:rFonts w:ascii="Calibri" w:eastAsia="Times New Roman" w:hAnsi="Calibri" w:cs="Calibri"/>
          <w:i/>
          <w:iCs/>
          <w:color w:val="00B0F0"/>
          <w:highlight w:val="yellow"/>
        </w:rPr>
        <w:t>Draft Vision:  Pesticides are not detected in waterways</w:t>
      </w:r>
      <w:r w:rsidRPr="00EB114C">
        <w:rPr>
          <w:rFonts w:ascii="Calibri" w:eastAsia="Times New Roman" w:hAnsi="Calibri" w:cs="Calibri"/>
          <w:color w:val="00B0F0"/>
          <w:highlight w:val="yellow"/>
        </w:rPr>
        <w:t>.  But, what about glyphosate and 2,4-D?</w:t>
      </w:r>
    </w:p>
    <w:p w14:paraId="503BFC01" w14:textId="6B96856A" w:rsidR="00D21208" w:rsidRDefault="00D21208" w:rsidP="00D21208">
      <w:pPr>
        <w:spacing w:after="0" w:line="240" w:lineRule="auto"/>
        <w:rPr>
          <w:rFonts w:ascii="Calibri" w:eastAsia="Times New Roman" w:hAnsi="Calibri" w:cs="Calibri"/>
          <w:color w:val="00B0F0"/>
          <w:highlight w:val="yellow"/>
        </w:rPr>
      </w:pPr>
    </w:p>
    <w:p w14:paraId="2253DFEE" w14:textId="1186B9F3" w:rsidR="008235F0" w:rsidRPr="00D21208" w:rsidRDefault="00D21208" w:rsidP="008235F0">
      <w:pPr>
        <w:spacing w:after="0" w:line="240" w:lineRule="auto"/>
        <w:rPr>
          <w:b/>
          <w:bCs/>
          <w:color w:val="000000" w:themeColor="text1"/>
          <w:u w:val="single"/>
        </w:rPr>
      </w:pPr>
      <w:r w:rsidRPr="00D21208">
        <w:rPr>
          <w:rFonts w:ascii="Calibri" w:eastAsia="Times New Roman" w:hAnsi="Calibri" w:cs="Calibri"/>
          <w:b/>
          <w:bCs/>
          <w:color w:val="000000" w:themeColor="text1"/>
          <w:u w:val="single"/>
        </w:rPr>
        <w:lastRenderedPageBreak/>
        <w:t>10:15</w:t>
      </w:r>
      <w:r w:rsidRPr="00D21208">
        <w:rPr>
          <w:rFonts w:ascii="Calibri" w:eastAsia="Times New Roman" w:hAnsi="Calibri" w:cs="Calibri"/>
          <w:b/>
          <w:bCs/>
          <w:color w:val="000000" w:themeColor="text1"/>
          <w:u w:val="single"/>
        </w:rPr>
        <w:tab/>
      </w:r>
      <w:r w:rsidR="008235F0" w:rsidRPr="00D21208">
        <w:rPr>
          <w:b/>
          <w:bCs/>
          <w:color w:val="000000" w:themeColor="text1"/>
          <w:u w:val="single"/>
        </w:rPr>
        <w:t xml:space="preserve">2024 Outreach:  </w:t>
      </w:r>
      <w:r w:rsidR="00EB114C" w:rsidRPr="00D21208">
        <w:rPr>
          <w:b/>
          <w:bCs/>
          <w:color w:val="000000" w:themeColor="text1"/>
          <w:u w:val="single"/>
        </w:rPr>
        <w:t>Needed by 2025 per Strategic Plan</w:t>
      </w:r>
    </w:p>
    <w:p w14:paraId="1B76D9A6" w14:textId="7762FD8B" w:rsidR="00965148" w:rsidRPr="008235F0" w:rsidRDefault="008235F0" w:rsidP="008235F0">
      <w:pPr>
        <w:pStyle w:val="ListParagraph"/>
        <w:numPr>
          <w:ilvl w:val="0"/>
          <w:numId w:val="15"/>
        </w:numPr>
        <w:spacing w:after="0" w:line="240" w:lineRule="auto"/>
      </w:pPr>
      <w:r w:rsidRPr="008235F0">
        <w:t xml:space="preserve">Trifold (100 printed); distributed to Ryan Brunner, NUID, </w:t>
      </w:r>
      <w:proofErr w:type="spellStart"/>
      <w:r w:rsidRPr="008235F0">
        <w:t>Pratum</w:t>
      </w:r>
      <w:proofErr w:type="spellEnd"/>
      <w:r w:rsidRPr="008235F0">
        <w:t>, W-E, Helena</w:t>
      </w:r>
    </w:p>
    <w:p w14:paraId="5E471453" w14:textId="44457433" w:rsidR="008235F0" w:rsidRPr="00EB114C" w:rsidRDefault="00EB114C" w:rsidP="00EB114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 w:rsidRPr="00EB114C">
        <w:rPr>
          <w:i/>
          <w:iCs/>
        </w:rPr>
        <w:t xml:space="preserve">Metric </w:t>
      </w:r>
      <w:proofErr w:type="spellStart"/>
      <w:r w:rsidRPr="00EB114C">
        <w:rPr>
          <w:i/>
          <w:iCs/>
        </w:rPr>
        <w:t>1b</w:t>
      </w:r>
      <w:proofErr w:type="spellEnd"/>
      <w:r w:rsidRPr="00EB114C">
        <w:rPr>
          <w:i/>
          <w:iCs/>
        </w:rPr>
        <w:t xml:space="preserve">: </w:t>
      </w:r>
      <w:r w:rsidRPr="00EB114C">
        <w:rPr>
          <w:i/>
          <w:iCs/>
          <w:color w:val="FF0000"/>
        </w:rPr>
        <w:t xml:space="preserve">Develop material for BMPs for 6 target groups </w:t>
      </w:r>
      <w:r w:rsidRPr="00EB114C">
        <w:rPr>
          <w:i/>
          <w:iCs/>
        </w:rPr>
        <w:t>based on crops grown (bluegrass seed, carrot seed, and hay), irrigation practice applied (sprinkler, and furrow irrigation), or pesticide used (those listed as High Pesticides of Concern).</w:t>
      </w:r>
    </w:p>
    <w:p w14:paraId="24ED2DB6" w14:textId="77777777" w:rsidR="00EB114C" w:rsidRDefault="00EB114C" w:rsidP="008235F0">
      <w:pPr>
        <w:spacing w:after="0" w:line="240" w:lineRule="auto"/>
      </w:pPr>
    </w:p>
    <w:p w14:paraId="14627629" w14:textId="0ACC1175" w:rsidR="008235F0" w:rsidRPr="00EB114C" w:rsidRDefault="00D21208" w:rsidP="008235F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10:30</w:t>
      </w:r>
      <w:r>
        <w:rPr>
          <w:b/>
          <w:bCs/>
          <w:u w:val="single"/>
        </w:rPr>
        <w:tab/>
      </w:r>
      <w:r w:rsidR="008235F0" w:rsidRPr="00EB114C">
        <w:rPr>
          <w:b/>
          <w:bCs/>
          <w:u w:val="single"/>
        </w:rPr>
        <w:t>2025-27 PSP Grant</w:t>
      </w:r>
    </w:p>
    <w:p w14:paraId="52DD88D4" w14:textId="46984D71" w:rsidR="008235F0" w:rsidRDefault="008235F0" w:rsidP="008235F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Due </w:t>
      </w:r>
      <w:r w:rsidR="00EB114C">
        <w:t>April 4</w:t>
      </w:r>
    </w:p>
    <w:p w14:paraId="527DA316" w14:textId="7595D746" w:rsidR="00EB114C" w:rsidRPr="00EB114C" w:rsidRDefault="00EB114C" w:rsidP="00EB114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C270B3E" wp14:editId="51C65FC3">
            <wp:simplePos x="0" y="0"/>
            <wp:positionH relativeFrom="column">
              <wp:posOffset>3343275</wp:posOffset>
            </wp:positionH>
            <wp:positionV relativeFrom="paragraph">
              <wp:posOffset>776605</wp:posOffset>
            </wp:positionV>
            <wp:extent cx="2800350" cy="885825"/>
            <wp:effectExtent l="19050" t="19050" r="19050" b="28575"/>
            <wp:wrapTight wrapText="bothSides">
              <wp:wrapPolygon edited="0">
                <wp:start x="-147" y="-465"/>
                <wp:lineTo x="-147" y="21832"/>
                <wp:lineTo x="21600" y="21832"/>
                <wp:lineTo x="21600" y="-465"/>
                <wp:lineTo x="-147" y="-465"/>
              </wp:wrapPolygon>
            </wp:wrapTight>
            <wp:docPr id="426153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94"/>
                    <a:stretch/>
                  </pic:blipFill>
                  <pic:spPr bwMode="auto">
                    <a:xfrm>
                      <a:off x="0" y="0"/>
                      <a:ext cx="2800350" cy="885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14C">
        <w:rPr>
          <w:rFonts w:eastAsia="Times New Roman" w:cstheme="minorHAnsi"/>
          <w:color w:val="222222"/>
        </w:rPr>
        <w:t>“The PSP is not a monitoring program</w:t>
      </w:r>
      <w:proofErr w:type="gramStart"/>
      <w:r w:rsidRPr="00EB114C">
        <w:rPr>
          <w:rFonts w:eastAsia="Times New Roman" w:cstheme="minorHAnsi"/>
          <w:color w:val="222222"/>
        </w:rPr>
        <w:t xml:space="preserve">. </w:t>
      </w:r>
      <w:proofErr w:type="gramEnd"/>
      <w:r w:rsidRPr="00EB114C">
        <w:rPr>
          <w:rFonts w:eastAsia="Times New Roman" w:cstheme="minorHAnsi"/>
          <w:color w:val="222222"/>
        </w:rPr>
        <w:t>The purpose of the water quality sampling is to find areas where outreach, education, and technical assistance can be created to reduce pesticide detection frequencies and concentrations in local waterways</w:t>
      </w:r>
      <w:proofErr w:type="gramStart"/>
      <w:r w:rsidRPr="00EB114C">
        <w:rPr>
          <w:rFonts w:eastAsia="Times New Roman" w:cstheme="minorHAnsi"/>
          <w:color w:val="222222"/>
        </w:rPr>
        <w:t xml:space="preserve">. </w:t>
      </w:r>
      <w:proofErr w:type="gramEnd"/>
      <w:r w:rsidRPr="00EB114C">
        <w:rPr>
          <w:rFonts w:eastAsia="Times New Roman" w:cstheme="minorHAnsi"/>
          <w:color w:val="222222"/>
        </w:rPr>
        <w:t>If a location has been sampled for several years and no notable detections have been found then that sampling location needs to be moved to a new area”</w:t>
      </w:r>
    </w:p>
    <w:p w14:paraId="31AB1EAD" w14:textId="4D34971B" w:rsidR="00EB114C" w:rsidRDefault="00EB114C" w:rsidP="008235F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to include?</w:t>
      </w:r>
    </w:p>
    <w:p w14:paraId="4E95FD92" w14:textId="22E5E2A1" w:rsidR="00EB114C" w:rsidRDefault="00EB114C" w:rsidP="00EB114C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Monitoring same sites and frequency?</w:t>
      </w:r>
    </w:p>
    <w:p w14:paraId="51B875E9" w14:textId="6B463BD5" w:rsidR="00EB114C" w:rsidRDefault="00EB114C" w:rsidP="00EB114C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Outreach</w:t>
      </w:r>
    </w:p>
    <w:p w14:paraId="1EFC6CFB" w14:textId="2312522C" w:rsidR="00EB114C" w:rsidRDefault="00EB114C" w:rsidP="00EB114C">
      <w:pPr>
        <w:pStyle w:val="ListParagraph"/>
        <w:numPr>
          <w:ilvl w:val="2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Windsocks</w:t>
      </w:r>
    </w:p>
    <w:p w14:paraId="792F0539" w14:textId="01182554" w:rsidR="00EB114C" w:rsidRDefault="00EB114C" w:rsidP="00EB114C">
      <w:pPr>
        <w:pStyle w:val="ListParagraph"/>
        <w:numPr>
          <w:ilvl w:val="2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Posters</w:t>
      </w:r>
    </w:p>
    <w:p w14:paraId="7FB2061B" w14:textId="7054F93D" w:rsidR="00EB114C" w:rsidRDefault="00EB114C" w:rsidP="00EB114C">
      <w:pPr>
        <w:pStyle w:val="ListParagraph"/>
        <w:numPr>
          <w:ilvl w:val="2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1-on-1s with landowners/applicators</w:t>
      </w:r>
    </w:p>
    <w:p w14:paraId="090DFB76" w14:textId="03A5B952" w:rsidR="00EB114C" w:rsidRDefault="00EB114C" w:rsidP="00EB114C">
      <w:pPr>
        <w:pStyle w:val="ListParagraph"/>
        <w:numPr>
          <w:ilvl w:val="2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Neighbor workshops</w:t>
      </w:r>
    </w:p>
    <w:p w14:paraId="6489421A" w14:textId="2F6B4D70" w:rsidR="00EB114C" w:rsidRDefault="00EB114C" w:rsidP="00EB114C">
      <w:pPr>
        <w:pStyle w:val="ListParagraph"/>
        <w:numPr>
          <w:ilvl w:val="2"/>
          <w:numId w:val="17"/>
        </w:numPr>
        <w:spacing w:after="0" w:line="240" w:lineRule="auto"/>
        <w:rPr>
          <w:rFonts w:cstheme="minorHAnsi"/>
        </w:rPr>
      </w:pPr>
      <w:r w:rsidRPr="00EB114C">
        <w:rPr>
          <w:noProof/>
        </w:rPr>
        <w:drawing>
          <wp:anchor distT="0" distB="0" distL="114300" distR="114300" simplePos="0" relativeHeight="251658240" behindDoc="1" locked="0" layoutInCell="1" allowOverlap="1" wp14:anchorId="30CA601D" wp14:editId="375515AE">
            <wp:simplePos x="0" y="0"/>
            <wp:positionH relativeFrom="column">
              <wp:posOffset>1104900</wp:posOffset>
            </wp:positionH>
            <wp:positionV relativeFrom="paragraph">
              <wp:posOffset>277495</wp:posOffset>
            </wp:positionV>
            <wp:extent cx="5188217" cy="1701887"/>
            <wp:effectExtent l="19050" t="19050" r="12700" b="12700"/>
            <wp:wrapTight wrapText="bothSides">
              <wp:wrapPolygon edited="0">
                <wp:start x="-79" y="-242"/>
                <wp:lineTo x="-79" y="21519"/>
                <wp:lineTo x="21574" y="21519"/>
                <wp:lineTo x="21574" y="-242"/>
                <wp:lineTo x="-79" y="-242"/>
              </wp:wrapPolygon>
            </wp:wrapTight>
            <wp:docPr id="2061052883" name="Picture 1" descr="A table of numbers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52883" name="Picture 1" descr="A table of numbers and word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217" cy="17018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Replacement part reimbursement</w:t>
      </w:r>
    </w:p>
    <w:p w14:paraId="709EDB8C" w14:textId="07FB2839" w:rsidR="00EB114C" w:rsidRPr="00EB114C" w:rsidRDefault="00EB114C" w:rsidP="00EB114C">
      <w:pPr>
        <w:pStyle w:val="ListParagraph"/>
        <w:spacing w:after="0" w:line="240" w:lineRule="auto"/>
        <w:ind w:left="2160"/>
        <w:rPr>
          <w:rFonts w:cstheme="minorHAnsi"/>
        </w:rPr>
      </w:pPr>
    </w:p>
    <w:p w14:paraId="51486AA9" w14:textId="0B21D8C6" w:rsidR="008235F0" w:rsidRDefault="008235F0" w:rsidP="008235F0">
      <w:pPr>
        <w:spacing w:after="0" w:line="240" w:lineRule="auto"/>
      </w:pPr>
    </w:p>
    <w:p w14:paraId="5B0B2AC5" w14:textId="6CA5902A" w:rsidR="008235F0" w:rsidRPr="00D21208" w:rsidRDefault="00D21208" w:rsidP="008235F0">
      <w:pPr>
        <w:spacing w:after="0" w:line="240" w:lineRule="auto"/>
        <w:rPr>
          <w:b/>
          <w:bCs/>
          <w:u w:val="single"/>
        </w:rPr>
      </w:pPr>
      <w:r w:rsidRPr="00D21208">
        <w:rPr>
          <w:b/>
          <w:bCs/>
          <w:u w:val="single"/>
        </w:rPr>
        <w:t>10:55</w:t>
      </w:r>
      <w:r w:rsidRPr="00D21208">
        <w:rPr>
          <w:b/>
          <w:bCs/>
          <w:u w:val="single"/>
        </w:rPr>
        <w:tab/>
        <w:t>Next meeting</w:t>
      </w:r>
    </w:p>
    <w:sectPr w:rsidR="008235F0" w:rsidRPr="00D2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D1"/>
    <w:multiLevelType w:val="hybridMultilevel"/>
    <w:tmpl w:val="CC5A3CF4"/>
    <w:lvl w:ilvl="0" w:tplc="AEBACC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D304D44E">
      <w:start w:val="1"/>
      <w:numFmt w:val="decimal"/>
      <w:lvlText w:val="%2."/>
      <w:lvlJc w:val="left"/>
      <w:pPr>
        <w:ind w:left="1080" w:hanging="360"/>
      </w:pPr>
      <w:rPr>
        <w:rFonts w:hint="default"/>
        <w:spacing w:val="0"/>
        <w:w w:val="1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F4D8B"/>
    <w:multiLevelType w:val="hybridMultilevel"/>
    <w:tmpl w:val="15245E92"/>
    <w:lvl w:ilvl="0" w:tplc="D304D44E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C7763"/>
    <w:multiLevelType w:val="hybridMultilevel"/>
    <w:tmpl w:val="B2AE54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F39EF"/>
    <w:multiLevelType w:val="multilevel"/>
    <w:tmpl w:val="A4DA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7032D"/>
    <w:multiLevelType w:val="hybridMultilevel"/>
    <w:tmpl w:val="052E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C2E32"/>
    <w:multiLevelType w:val="hybridMultilevel"/>
    <w:tmpl w:val="CB7E46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80275"/>
    <w:multiLevelType w:val="hybridMultilevel"/>
    <w:tmpl w:val="8DC07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0078"/>
    <w:multiLevelType w:val="hybridMultilevel"/>
    <w:tmpl w:val="30929B68"/>
    <w:lvl w:ilvl="0" w:tplc="5BC04CD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230A2"/>
    <w:multiLevelType w:val="hybridMultilevel"/>
    <w:tmpl w:val="F7A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D026D"/>
    <w:multiLevelType w:val="hybridMultilevel"/>
    <w:tmpl w:val="F18044E6"/>
    <w:lvl w:ilvl="0" w:tplc="21C26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25764"/>
    <w:multiLevelType w:val="hybridMultilevel"/>
    <w:tmpl w:val="3AECC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  <w:spacing w:val="0"/>
        <w:w w:val="10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FB1CC8"/>
    <w:multiLevelType w:val="hybridMultilevel"/>
    <w:tmpl w:val="CFDA5898"/>
    <w:lvl w:ilvl="0" w:tplc="24B0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5621"/>
    <w:multiLevelType w:val="hybridMultilevel"/>
    <w:tmpl w:val="5DF8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47AE"/>
    <w:multiLevelType w:val="hybridMultilevel"/>
    <w:tmpl w:val="FE78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162B7"/>
    <w:multiLevelType w:val="hybridMultilevel"/>
    <w:tmpl w:val="0B0C4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34073"/>
    <w:multiLevelType w:val="hybridMultilevel"/>
    <w:tmpl w:val="38267E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805383"/>
    <w:multiLevelType w:val="hybridMultilevel"/>
    <w:tmpl w:val="037C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A36EDB"/>
    <w:multiLevelType w:val="hybridMultilevel"/>
    <w:tmpl w:val="4B82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249DE"/>
    <w:multiLevelType w:val="hybridMultilevel"/>
    <w:tmpl w:val="03C29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0B27"/>
    <w:multiLevelType w:val="hybridMultilevel"/>
    <w:tmpl w:val="22F2E0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E31EFF"/>
    <w:multiLevelType w:val="hybridMultilevel"/>
    <w:tmpl w:val="F5C2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518E5"/>
    <w:multiLevelType w:val="hybridMultilevel"/>
    <w:tmpl w:val="4D8C8574"/>
    <w:lvl w:ilvl="0" w:tplc="0AEC83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611290">
    <w:abstractNumId w:val="12"/>
  </w:num>
  <w:num w:numId="2" w16cid:durableId="228662651">
    <w:abstractNumId w:val="7"/>
  </w:num>
  <w:num w:numId="3" w16cid:durableId="1375275428">
    <w:abstractNumId w:val="11"/>
  </w:num>
  <w:num w:numId="4" w16cid:durableId="1571109894">
    <w:abstractNumId w:val="21"/>
  </w:num>
  <w:num w:numId="5" w16cid:durableId="735397455">
    <w:abstractNumId w:val="9"/>
  </w:num>
  <w:num w:numId="6" w16cid:durableId="1550534569">
    <w:abstractNumId w:val="0"/>
  </w:num>
  <w:num w:numId="7" w16cid:durableId="786462411">
    <w:abstractNumId w:val="2"/>
  </w:num>
  <w:num w:numId="8" w16cid:durableId="1050688329">
    <w:abstractNumId w:val="4"/>
  </w:num>
  <w:num w:numId="9" w16cid:durableId="1243028975">
    <w:abstractNumId w:val="1"/>
  </w:num>
  <w:num w:numId="10" w16cid:durableId="1246308250">
    <w:abstractNumId w:val="20"/>
  </w:num>
  <w:num w:numId="11" w16cid:durableId="1943950433">
    <w:abstractNumId w:val="6"/>
  </w:num>
  <w:num w:numId="12" w16cid:durableId="1784836826">
    <w:abstractNumId w:val="16"/>
  </w:num>
  <w:num w:numId="13" w16cid:durableId="64760748">
    <w:abstractNumId w:val="19"/>
  </w:num>
  <w:num w:numId="14" w16cid:durableId="1309282510">
    <w:abstractNumId w:val="18"/>
  </w:num>
  <w:num w:numId="15" w16cid:durableId="947587884">
    <w:abstractNumId w:val="13"/>
  </w:num>
  <w:num w:numId="16" w16cid:durableId="493839511">
    <w:abstractNumId w:val="8"/>
  </w:num>
  <w:num w:numId="17" w16cid:durableId="300429757">
    <w:abstractNumId w:val="17"/>
  </w:num>
  <w:num w:numId="18" w16cid:durableId="1270699667">
    <w:abstractNumId w:val="3"/>
  </w:num>
  <w:num w:numId="19" w16cid:durableId="1781993472">
    <w:abstractNumId w:val="14"/>
  </w:num>
  <w:num w:numId="20" w16cid:durableId="1348096125">
    <w:abstractNumId w:val="15"/>
  </w:num>
  <w:num w:numId="21" w16cid:durableId="1605385989">
    <w:abstractNumId w:val="5"/>
  </w:num>
  <w:num w:numId="22" w16cid:durableId="1346399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9"/>
    <w:rsid w:val="00017764"/>
    <w:rsid w:val="00042E2B"/>
    <w:rsid w:val="00051572"/>
    <w:rsid w:val="000F2E56"/>
    <w:rsid w:val="00231B99"/>
    <w:rsid w:val="002327EC"/>
    <w:rsid w:val="00246E88"/>
    <w:rsid w:val="0025192F"/>
    <w:rsid w:val="002655F9"/>
    <w:rsid w:val="002E0A6D"/>
    <w:rsid w:val="00302BCD"/>
    <w:rsid w:val="003553B6"/>
    <w:rsid w:val="003F05E9"/>
    <w:rsid w:val="00400347"/>
    <w:rsid w:val="00511762"/>
    <w:rsid w:val="005D58B9"/>
    <w:rsid w:val="006B3815"/>
    <w:rsid w:val="007205BC"/>
    <w:rsid w:val="007340F0"/>
    <w:rsid w:val="00780113"/>
    <w:rsid w:val="008235F0"/>
    <w:rsid w:val="008E1212"/>
    <w:rsid w:val="009218BE"/>
    <w:rsid w:val="00965148"/>
    <w:rsid w:val="009D463F"/>
    <w:rsid w:val="009D74A9"/>
    <w:rsid w:val="00A164D1"/>
    <w:rsid w:val="00A57D59"/>
    <w:rsid w:val="00C34F0E"/>
    <w:rsid w:val="00C8745A"/>
    <w:rsid w:val="00D21208"/>
    <w:rsid w:val="00D40EE7"/>
    <w:rsid w:val="00D535CC"/>
    <w:rsid w:val="00E57610"/>
    <w:rsid w:val="00EA4D73"/>
    <w:rsid w:val="00EB114C"/>
    <w:rsid w:val="00F17004"/>
    <w:rsid w:val="00F5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DFA3"/>
  <w15:chartTrackingRefBased/>
  <w15:docId w15:val="{02B406C6-A65C-495E-BE79-B7B416B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5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D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38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81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1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7764"/>
  </w:style>
  <w:style w:type="character" w:customStyle="1" w:styleId="eop">
    <w:name w:val="eop"/>
    <w:basedOn w:val="DefaultParagraphFont"/>
    <w:rsid w:val="00017764"/>
  </w:style>
  <w:style w:type="character" w:customStyle="1" w:styleId="tabchar">
    <w:name w:val="tabchar"/>
    <w:basedOn w:val="DefaultParagraphFont"/>
    <w:rsid w:val="000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+13462487799,,310324717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3103247170?pwd=bnpsVUFnbngwaThNaWEvYkdzQW1wU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Hammond</dc:creator>
  <cp:keywords/>
  <dc:description/>
  <cp:lastModifiedBy>Ellen Hammond</cp:lastModifiedBy>
  <cp:revision>21</cp:revision>
  <dcterms:created xsi:type="dcterms:W3CDTF">2024-01-29T18:38:00Z</dcterms:created>
  <dcterms:modified xsi:type="dcterms:W3CDTF">2025-01-16T21:22:00Z</dcterms:modified>
</cp:coreProperties>
</file>